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36F" w14:textId="77777777" w:rsidR="00604296" w:rsidRPr="004124EF" w:rsidRDefault="00604296" w:rsidP="0027055D">
      <w:pPr>
        <w:pStyle w:val="Com-surtitre"/>
      </w:pPr>
      <w:r w:rsidRPr="004124EF">
        <w:tab/>
      </w:r>
      <w:r w:rsidRPr="004124EF">
        <w:tab/>
      </w:r>
      <w:r w:rsidRPr="004124EF">
        <w:tab/>
      </w:r>
    </w:p>
    <w:p w14:paraId="61AED5AB" w14:textId="1BD63AB0" w:rsidR="00604296" w:rsidRDefault="007A2021" w:rsidP="00386441">
      <w:pPr>
        <w:pStyle w:val="com-titre"/>
        <w:spacing w:before="0"/>
      </w:pPr>
      <w:r>
        <w:t>Vigne et évolution du climat</w:t>
      </w:r>
    </w:p>
    <w:p w14:paraId="6FD70067" w14:textId="1F08B543" w:rsidR="00186578" w:rsidRPr="00186578" w:rsidRDefault="00186578" w:rsidP="00386441">
      <w:pPr>
        <w:pStyle w:val="com-titre"/>
        <w:spacing w:before="0"/>
        <w:rPr>
          <w:b w:val="0"/>
          <w:bCs w:val="0"/>
          <w:sz w:val="24"/>
          <w:szCs w:val="24"/>
        </w:rPr>
      </w:pPr>
      <w:r w:rsidRPr="00186578">
        <w:rPr>
          <w:b w:val="0"/>
          <w:bCs w:val="0"/>
          <w:sz w:val="24"/>
          <w:szCs w:val="24"/>
        </w:rPr>
        <w:t xml:space="preserve">Conférence de presse du 23 août 2022, domaine du </w:t>
      </w:r>
      <w:proofErr w:type="spellStart"/>
      <w:r w:rsidRPr="00186578">
        <w:rPr>
          <w:b w:val="0"/>
          <w:bCs w:val="0"/>
          <w:sz w:val="24"/>
          <w:szCs w:val="24"/>
        </w:rPr>
        <w:t>Caudoz</w:t>
      </w:r>
      <w:proofErr w:type="spellEnd"/>
      <w:r w:rsidRPr="00186578">
        <w:rPr>
          <w:b w:val="0"/>
          <w:bCs w:val="0"/>
          <w:sz w:val="24"/>
          <w:szCs w:val="24"/>
        </w:rPr>
        <w:t xml:space="preserve">, </w:t>
      </w:r>
      <w:proofErr w:type="spellStart"/>
      <w:r w:rsidRPr="00186578">
        <w:rPr>
          <w:b w:val="0"/>
          <w:bCs w:val="0"/>
          <w:sz w:val="24"/>
          <w:szCs w:val="24"/>
        </w:rPr>
        <w:t>Agroscope</w:t>
      </w:r>
      <w:proofErr w:type="spellEnd"/>
      <w:r w:rsidRPr="00186578">
        <w:rPr>
          <w:b w:val="0"/>
          <w:bCs w:val="0"/>
          <w:sz w:val="24"/>
          <w:szCs w:val="24"/>
        </w:rPr>
        <w:t>-Pully</w:t>
      </w:r>
    </w:p>
    <w:p w14:paraId="0B47F3FD" w14:textId="77777777" w:rsidR="00F029A3" w:rsidRDefault="00F029A3" w:rsidP="00386441">
      <w:pPr>
        <w:pStyle w:val="com-titre"/>
        <w:spacing w:before="0"/>
      </w:pPr>
    </w:p>
    <w:p w14:paraId="6267F5D8" w14:textId="5D9ADAA6" w:rsidR="00604296" w:rsidRPr="008A6545" w:rsidRDefault="007A2021" w:rsidP="008A6545">
      <w:pPr>
        <w:jc w:val="both"/>
        <w:rPr>
          <w:b/>
        </w:rPr>
      </w:pPr>
      <w:r>
        <w:rPr>
          <w:b/>
        </w:rPr>
        <w:t>L</w:t>
      </w:r>
      <w:r w:rsidR="007A69E1">
        <w:rPr>
          <w:b/>
        </w:rPr>
        <w:t>a vigne est un</w:t>
      </w:r>
      <w:r w:rsidR="002147DF">
        <w:rPr>
          <w:b/>
        </w:rPr>
        <w:t xml:space="preserve"> très bon marqueur de</w:t>
      </w:r>
      <w:r w:rsidR="007A69E1">
        <w:rPr>
          <w:b/>
        </w:rPr>
        <w:t xml:space="preserve"> l’évolution du climat. L</w:t>
      </w:r>
      <w:r w:rsidR="00F40E75">
        <w:rPr>
          <w:b/>
        </w:rPr>
        <w:t xml:space="preserve">es </w:t>
      </w:r>
      <w:r w:rsidR="007A69E1">
        <w:rPr>
          <w:b/>
        </w:rPr>
        <w:t>stades phénol</w:t>
      </w:r>
      <w:r w:rsidR="000F56BD">
        <w:rPr>
          <w:b/>
        </w:rPr>
        <w:t>ogi</w:t>
      </w:r>
      <w:r w:rsidR="007A69E1">
        <w:rPr>
          <w:b/>
        </w:rPr>
        <w:t>ques</w:t>
      </w:r>
      <w:r w:rsidR="006F062F">
        <w:rPr>
          <w:b/>
        </w:rPr>
        <w:t xml:space="preserve"> observés</w:t>
      </w:r>
      <w:r w:rsidR="009F4444">
        <w:rPr>
          <w:b/>
        </w:rPr>
        <w:t xml:space="preserve"> sont</w:t>
      </w:r>
      <w:r w:rsidR="00F40E75">
        <w:rPr>
          <w:b/>
        </w:rPr>
        <w:t xml:space="preserve"> bien </w:t>
      </w:r>
      <w:r w:rsidR="009F4444">
        <w:rPr>
          <w:b/>
        </w:rPr>
        <w:t>corrélés avec les</w:t>
      </w:r>
      <w:r w:rsidR="00F40E75">
        <w:rPr>
          <w:b/>
        </w:rPr>
        <w:t xml:space="preserve"> sommes thermiques enregistrées</w:t>
      </w:r>
      <w:r w:rsidR="001C43D4">
        <w:rPr>
          <w:b/>
        </w:rPr>
        <w:t>,</w:t>
      </w:r>
      <w:r w:rsidR="00F40E75">
        <w:rPr>
          <w:b/>
        </w:rPr>
        <w:t xml:space="preserve"> comme le montre l’</w:t>
      </w:r>
      <w:r w:rsidR="002147DF">
        <w:rPr>
          <w:b/>
        </w:rPr>
        <w:t>e</w:t>
      </w:r>
      <w:r w:rsidR="009A32A0">
        <w:rPr>
          <w:b/>
        </w:rPr>
        <w:t xml:space="preserve">xtrême </w:t>
      </w:r>
      <w:r w:rsidR="00F40E75">
        <w:rPr>
          <w:b/>
        </w:rPr>
        <w:t>précocité d</w:t>
      </w:r>
      <w:r w:rsidR="006F062F">
        <w:rPr>
          <w:b/>
        </w:rPr>
        <w:t>e la maturation en</w:t>
      </w:r>
      <w:r w:rsidR="00F40E75">
        <w:rPr>
          <w:b/>
        </w:rPr>
        <w:t xml:space="preserve"> 2022</w:t>
      </w:r>
      <w:r w:rsidR="006F062F">
        <w:rPr>
          <w:b/>
        </w:rPr>
        <w:t>,</w:t>
      </w:r>
      <w:r w:rsidR="00F40E75">
        <w:rPr>
          <w:b/>
        </w:rPr>
        <w:t xml:space="preserve"> consécutive à une longu</w:t>
      </w:r>
      <w:r w:rsidR="001C43D4">
        <w:rPr>
          <w:b/>
        </w:rPr>
        <w:t>e série de températures élevées, couplée à un déficit important de précipitations.</w:t>
      </w:r>
      <w:r w:rsidR="00AC33EA">
        <w:rPr>
          <w:b/>
        </w:rPr>
        <w:t xml:space="preserve"> </w:t>
      </w:r>
      <w:r w:rsidR="002147DF">
        <w:rPr>
          <w:b/>
        </w:rPr>
        <w:t>Le</w:t>
      </w:r>
      <w:r w:rsidR="006F062F">
        <w:rPr>
          <w:b/>
        </w:rPr>
        <w:t xml:space="preserve"> climat exceptionnel </w:t>
      </w:r>
      <w:r w:rsidR="009A32A0">
        <w:rPr>
          <w:b/>
        </w:rPr>
        <w:t>de cette</w:t>
      </w:r>
      <w:r w:rsidR="00AC33EA">
        <w:rPr>
          <w:b/>
        </w:rPr>
        <w:t xml:space="preserve"> </w:t>
      </w:r>
      <w:r w:rsidR="006F062F">
        <w:rPr>
          <w:b/>
        </w:rPr>
        <w:t>année démontre</w:t>
      </w:r>
      <w:r w:rsidR="00AC33EA">
        <w:rPr>
          <w:b/>
        </w:rPr>
        <w:t xml:space="preserve"> </w:t>
      </w:r>
      <w:r w:rsidR="0033688C">
        <w:rPr>
          <w:b/>
        </w:rPr>
        <w:t>que la</w:t>
      </w:r>
      <w:r w:rsidR="003927FF">
        <w:rPr>
          <w:b/>
        </w:rPr>
        <w:t xml:space="preserve"> vigne</w:t>
      </w:r>
      <w:r w:rsidR="00AC33EA">
        <w:rPr>
          <w:b/>
        </w:rPr>
        <w:t xml:space="preserve"> </w:t>
      </w:r>
      <w:r w:rsidR="003927FF">
        <w:rPr>
          <w:b/>
        </w:rPr>
        <w:t>est une des plantes les mieux adaptées aux conditions sèches et caniculaires</w:t>
      </w:r>
      <w:r w:rsidR="00CA64CF">
        <w:rPr>
          <w:b/>
        </w:rPr>
        <w:t>.</w:t>
      </w:r>
      <w:r w:rsidR="0067475C">
        <w:rPr>
          <w:b/>
        </w:rPr>
        <w:t xml:space="preserve"> Cette </w:t>
      </w:r>
      <w:r w:rsidR="00765513">
        <w:rPr>
          <w:b/>
        </w:rPr>
        <w:t>résilience</w:t>
      </w:r>
      <w:r w:rsidR="0067475C">
        <w:rPr>
          <w:b/>
        </w:rPr>
        <w:t xml:space="preserve"> </w:t>
      </w:r>
      <w:r w:rsidR="00116CF5">
        <w:rPr>
          <w:b/>
        </w:rPr>
        <w:t>dépend</w:t>
      </w:r>
      <w:r w:rsidR="00AC33EA">
        <w:rPr>
          <w:b/>
        </w:rPr>
        <w:t xml:space="preserve"> </w:t>
      </w:r>
      <w:r w:rsidR="0067475C">
        <w:rPr>
          <w:b/>
        </w:rPr>
        <w:t>toutefois</w:t>
      </w:r>
      <w:r w:rsidR="00AC33EA">
        <w:rPr>
          <w:b/>
        </w:rPr>
        <w:t xml:space="preserve"> </w:t>
      </w:r>
      <w:r w:rsidR="0067475C">
        <w:rPr>
          <w:b/>
        </w:rPr>
        <w:t>d'un grand nombre de paramètres</w:t>
      </w:r>
      <w:r w:rsidR="0033688C">
        <w:rPr>
          <w:b/>
        </w:rPr>
        <w:t xml:space="preserve"> culturaux, en particulier ceux liés à la gestion des sols,</w:t>
      </w:r>
      <w:r w:rsidR="0067475C">
        <w:rPr>
          <w:b/>
        </w:rPr>
        <w:t xml:space="preserve"> qui </w:t>
      </w:r>
      <w:r w:rsidR="0033688C">
        <w:rPr>
          <w:b/>
        </w:rPr>
        <w:t xml:space="preserve">vont </w:t>
      </w:r>
      <w:r w:rsidR="0067475C">
        <w:rPr>
          <w:b/>
        </w:rPr>
        <w:t>influence</w:t>
      </w:r>
      <w:r w:rsidR="0033688C">
        <w:rPr>
          <w:b/>
        </w:rPr>
        <w:t>r</w:t>
      </w:r>
      <w:r w:rsidR="00AC33EA">
        <w:rPr>
          <w:b/>
        </w:rPr>
        <w:t xml:space="preserve"> </w:t>
      </w:r>
      <w:r w:rsidR="005045AF">
        <w:rPr>
          <w:b/>
        </w:rPr>
        <w:t>son</w:t>
      </w:r>
      <w:r w:rsidR="0067475C">
        <w:rPr>
          <w:b/>
        </w:rPr>
        <w:t xml:space="preserve"> comportement</w:t>
      </w:r>
      <w:r w:rsidR="0033688C">
        <w:rPr>
          <w:b/>
        </w:rPr>
        <w:t>.</w:t>
      </w:r>
      <w:r w:rsidR="00AC33EA">
        <w:rPr>
          <w:b/>
        </w:rPr>
        <w:t xml:space="preserve"> </w:t>
      </w:r>
      <w:r w:rsidR="00F34643">
        <w:rPr>
          <w:b/>
        </w:rPr>
        <w:t>L</w:t>
      </w:r>
      <w:r w:rsidR="00413184">
        <w:rPr>
          <w:b/>
        </w:rPr>
        <w:t>ors de l</w:t>
      </w:r>
      <w:r w:rsidR="00F34643">
        <w:rPr>
          <w:b/>
        </w:rPr>
        <w:t xml:space="preserve">a conférence de presse du 23 août 2022 au domaine du </w:t>
      </w:r>
      <w:proofErr w:type="spellStart"/>
      <w:r w:rsidR="00F34643">
        <w:rPr>
          <w:b/>
        </w:rPr>
        <w:t>Caudoz</w:t>
      </w:r>
      <w:proofErr w:type="spellEnd"/>
      <w:r w:rsidR="00F34643">
        <w:rPr>
          <w:b/>
        </w:rPr>
        <w:t xml:space="preserve"> à Pully</w:t>
      </w:r>
      <w:r w:rsidR="00413184">
        <w:rPr>
          <w:b/>
        </w:rPr>
        <w:t>,</w:t>
      </w:r>
      <w:r w:rsidR="00F34643">
        <w:rPr>
          <w:b/>
        </w:rPr>
        <w:t xml:space="preserve"> </w:t>
      </w:r>
      <w:r w:rsidR="00413184">
        <w:rPr>
          <w:b/>
        </w:rPr>
        <w:t>les mécanismes d</w:t>
      </w:r>
      <w:r w:rsidR="001D19A4">
        <w:rPr>
          <w:b/>
        </w:rPr>
        <w:t xml:space="preserve">’adaptation </w:t>
      </w:r>
      <w:r w:rsidR="00F34643">
        <w:rPr>
          <w:b/>
        </w:rPr>
        <w:t xml:space="preserve">de </w:t>
      </w:r>
      <w:r w:rsidR="00413184">
        <w:rPr>
          <w:b/>
        </w:rPr>
        <w:t>la vigne</w:t>
      </w:r>
      <w:r w:rsidR="00AC33EA">
        <w:rPr>
          <w:b/>
        </w:rPr>
        <w:t xml:space="preserve"> </w:t>
      </w:r>
      <w:r w:rsidR="00413184">
        <w:rPr>
          <w:b/>
        </w:rPr>
        <w:t>seront présentés</w:t>
      </w:r>
      <w:r w:rsidR="001D19A4">
        <w:rPr>
          <w:b/>
        </w:rPr>
        <w:t xml:space="preserve"> </w:t>
      </w:r>
      <w:r w:rsidR="00F34643">
        <w:rPr>
          <w:b/>
        </w:rPr>
        <w:t>par les experts de</w:t>
      </w:r>
      <w:r w:rsidR="005045AF">
        <w:rPr>
          <w:b/>
        </w:rPr>
        <w:t xml:space="preserve"> la recherche vitivinicole d'</w:t>
      </w:r>
      <w:proofErr w:type="spellStart"/>
      <w:r w:rsidR="005045AF">
        <w:rPr>
          <w:b/>
        </w:rPr>
        <w:t>Agroscope</w:t>
      </w:r>
      <w:proofErr w:type="spellEnd"/>
      <w:r w:rsidR="005045AF">
        <w:rPr>
          <w:b/>
        </w:rPr>
        <w:t xml:space="preserve"> qui achèvent</w:t>
      </w:r>
      <w:r w:rsidR="003B2806">
        <w:rPr>
          <w:b/>
        </w:rPr>
        <w:t>, avec le soutien de l’État de Vaud,</w:t>
      </w:r>
      <w:r w:rsidR="00AC33EA">
        <w:rPr>
          <w:b/>
        </w:rPr>
        <w:t xml:space="preserve"> de la Fondation L.-P. </w:t>
      </w:r>
      <w:r w:rsidR="00074FAF">
        <w:rPr>
          <w:b/>
        </w:rPr>
        <w:t xml:space="preserve">et A.-C. </w:t>
      </w:r>
      <w:proofErr w:type="spellStart"/>
      <w:r w:rsidR="00AC33EA">
        <w:rPr>
          <w:b/>
        </w:rPr>
        <w:t>Bovard</w:t>
      </w:r>
      <w:proofErr w:type="spellEnd"/>
      <w:r w:rsidR="00AC33EA">
        <w:rPr>
          <w:b/>
        </w:rPr>
        <w:t xml:space="preserve"> et de la Loterie Romande,</w:t>
      </w:r>
      <w:r w:rsidR="005045AF">
        <w:rPr>
          <w:b/>
        </w:rPr>
        <w:t xml:space="preserve"> un quatrième ouvrage </w:t>
      </w:r>
      <w:r w:rsidR="003927FF">
        <w:rPr>
          <w:b/>
        </w:rPr>
        <w:t xml:space="preserve">collectif </w:t>
      </w:r>
      <w:r w:rsidR="005045AF">
        <w:rPr>
          <w:b/>
        </w:rPr>
        <w:t xml:space="preserve">sur la vigne dédié à son fonctionnement, à son alimentation hydrique et minérale, </w:t>
      </w:r>
      <w:r w:rsidR="002B47C8">
        <w:rPr>
          <w:b/>
        </w:rPr>
        <w:t>ainsi qu'</w:t>
      </w:r>
      <w:r w:rsidR="005045AF">
        <w:rPr>
          <w:b/>
        </w:rPr>
        <w:t>aux accidents physiologique</w:t>
      </w:r>
      <w:r w:rsidR="00153055">
        <w:rPr>
          <w:b/>
        </w:rPr>
        <w:t>s</w:t>
      </w:r>
      <w:r w:rsidR="005045AF">
        <w:rPr>
          <w:b/>
        </w:rPr>
        <w:t xml:space="preserve"> et climatiques.</w:t>
      </w:r>
      <w:r w:rsidR="00AC33EA">
        <w:rPr>
          <w:b/>
        </w:rPr>
        <w:t xml:space="preserve"> </w:t>
      </w:r>
    </w:p>
    <w:p w14:paraId="494F3D81" w14:textId="77777777" w:rsidR="00604296" w:rsidRPr="008944ED" w:rsidRDefault="00604296" w:rsidP="008944ED">
      <w:pPr>
        <w:tabs>
          <w:tab w:val="left" w:pos="851"/>
        </w:tabs>
        <w:jc w:val="both"/>
      </w:pPr>
    </w:p>
    <w:p w14:paraId="7FF75620" w14:textId="0ADB6666" w:rsidR="00604296" w:rsidRPr="008944ED" w:rsidRDefault="002B47C8" w:rsidP="008944ED">
      <w:pPr>
        <w:tabs>
          <w:tab w:val="left" w:pos="851"/>
        </w:tabs>
        <w:jc w:val="both"/>
      </w:pPr>
      <w:r>
        <w:t xml:space="preserve">L'évolution du climat </w:t>
      </w:r>
      <w:r w:rsidR="003927FF">
        <w:t xml:space="preserve">caractérisée par </w:t>
      </w:r>
      <w:r>
        <w:t>un réchauffement global n'est plus à démontrer</w:t>
      </w:r>
      <w:r w:rsidR="009B200B">
        <w:t>.</w:t>
      </w:r>
      <w:r w:rsidR="00054524">
        <w:t xml:space="preserve"> Les plantes cultivées sont de plus en plus exposées à </w:t>
      </w:r>
      <w:r w:rsidR="003927FF">
        <w:t>d</w:t>
      </w:r>
      <w:r w:rsidR="00054524">
        <w:t xml:space="preserve">es conditions extrêmes qui ont des incidences sur les rendements et la qualité des produits agricoles. En 2022, le déficit </w:t>
      </w:r>
      <w:r w:rsidR="003927FF">
        <w:t xml:space="preserve">chronique </w:t>
      </w:r>
      <w:r w:rsidR="00054524">
        <w:t xml:space="preserve">de précipitations combiné à des températures maximales hors norme </w:t>
      </w:r>
      <w:r w:rsidR="00DE49FA">
        <w:t xml:space="preserve">au printemps et en été </w:t>
      </w:r>
      <w:r w:rsidR="001D19A4">
        <w:t>perturbent</w:t>
      </w:r>
      <w:r w:rsidR="00AC33EA">
        <w:t xml:space="preserve"> </w:t>
      </w:r>
      <w:r w:rsidR="00DE49FA">
        <w:t xml:space="preserve">l'estivage </w:t>
      </w:r>
      <w:r w:rsidR="001D19A4">
        <w:t>du bétail</w:t>
      </w:r>
      <w:r w:rsidR="00AC33EA">
        <w:t xml:space="preserve"> </w:t>
      </w:r>
      <w:r w:rsidR="00DE49FA">
        <w:t xml:space="preserve">et remettent en question </w:t>
      </w:r>
      <w:r w:rsidR="00BF1885">
        <w:t>la pratique de certaines</w:t>
      </w:r>
      <w:r w:rsidR="00AC33EA">
        <w:t xml:space="preserve"> </w:t>
      </w:r>
      <w:r w:rsidR="00DE49FA">
        <w:t>culture</w:t>
      </w:r>
      <w:r w:rsidR="00BF1885">
        <w:t>s</w:t>
      </w:r>
      <w:r w:rsidR="00AC33EA">
        <w:t xml:space="preserve"> </w:t>
      </w:r>
      <w:r w:rsidR="003927FF">
        <w:t xml:space="preserve">gourmandes en eau, </w:t>
      </w:r>
      <w:r w:rsidR="00E6390C">
        <w:t>comme le</w:t>
      </w:r>
      <w:r w:rsidR="00BF1885">
        <w:t xml:space="preserve"> maïs, </w:t>
      </w:r>
      <w:r w:rsidR="00DE49FA">
        <w:t xml:space="preserve">les betteraves sucrières ou les pommes de terre. Le comportement de la vigne est quant à lui également influencé, bien que </w:t>
      </w:r>
      <w:r w:rsidR="00DE49FA" w:rsidRPr="00DE49FA">
        <w:rPr>
          <w:i/>
          <w:iCs/>
        </w:rPr>
        <w:t xml:space="preserve">Vitis </w:t>
      </w:r>
      <w:proofErr w:type="spellStart"/>
      <w:r w:rsidR="00DE49FA" w:rsidRPr="00DE49FA">
        <w:rPr>
          <w:i/>
          <w:iCs/>
        </w:rPr>
        <w:t>vinifera</w:t>
      </w:r>
      <w:proofErr w:type="spellEnd"/>
      <w:r w:rsidR="00DE49FA">
        <w:t xml:space="preserve"> soit une des espèces botaniques les mieux adaptées à ces conditions extrêmes.</w:t>
      </w:r>
      <w:r w:rsidR="00AC33EA">
        <w:t xml:space="preserve">  </w:t>
      </w:r>
    </w:p>
    <w:p w14:paraId="4EB008C7" w14:textId="77777777" w:rsidR="00604296" w:rsidRPr="008944ED" w:rsidRDefault="00604296" w:rsidP="008944ED">
      <w:pPr>
        <w:tabs>
          <w:tab w:val="left" w:pos="851"/>
        </w:tabs>
        <w:jc w:val="both"/>
      </w:pPr>
    </w:p>
    <w:p w14:paraId="27E16294" w14:textId="3A9A517E" w:rsidR="00A7517D" w:rsidRDefault="005E70E5" w:rsidP="00A7517D">
      <w:pPr>
        <w:tabs>
          <w:tab w:val="left" w:pos="851"/>
        </w:tabs>
        <w:jc w:val="both"/>
      </w:pPr>
      <w:r>
        <w:t xml:space="preserve">La conférence de presse </w:t>
      </w:r>
      <w:r w:rsidR="003927FF">
        <w:t xml:space="preserve">de ce jour </w:t>
      </w:r>
      <w:r>
        <w:t xml:space="preserve">permet de faire le point sur la </w:t>
      </w:r>
      <w:r w:rsidR="00E6390C">
        <w:t>capacité d’adaptation</w:t>
      </w:r>
      <w:r w:rsidR="00AC33EA">
        <w:t xml:space="preserve"> </w:t>
      </w:r>
      <w:r>
        <w:t>de la vigne face au réchauffement climatique</w:t>
      </w:r>
      <w:r w:rsidR="00642D40">
        <w:t>.</w:t>
      </w:r>
      <w:r>
        <w:t xml:space="preserve"> </w:t>
      </w:r>
      <w:r w:rsidR="00642D40">
        <w:t>Ce thème est présenté</w:t>
      </w:r>
      <w:r w:rsidR="00AC33EA">
        <w:t xml:space="preserve"> </w:t>
      </w:r>
      <w:r w:rsidR="00642D40">
        <w:t>par</w:t>
      </w:r>
      <w:r>
        <w:t xml:space="preserve"> des experts d'</w:t>
      </w:r>
      <w:proofErr w:type="spellStart"/>
      <w:r>
        <w:t>Agroscope</w:t>
      </w:r>
      <w:proofErr w:type="spellEnd"/>
      <w:r w:rsidR="003878F0" w:rsidRPr="003878F0">
        <w:t xml:space="preserve"> </w:t>
      </w:r>
      <w:r w:rsidR="003878F0" w:rsidRPr="00A7517D">
        <w:t>reconnus à l'échelle internationale</w:t>
      </w:r>
      <w:r w:rsidR="003927FF">
        <w:t>,</w:t>
      </w:r>
      <w:r>
        <w:t xml:space="preserve"> à l'occasion de la </w:t>
      </w:r>
      <w:r w:rsidR="003927FF">
        <w:t>parution</w:t>
      </w:r>
      <w:r>
        <w:t xml:space="preserve"> </w:t>
      </w:r>
      <w:r w:rsidR="00A7517D">
        <w:t>de leur</w:t>
      </w:r>
      <w:r>
        <w:t xml:space="preserve"> dernier ouvrage collectif </w:t>
      </w:r>
      <w:r w:rsidR="00A7517D">
        <w:t>vu sous l'angle de l'a</w:t>
      </w:r>
      <w:r w:rsidR="00A7517D" w:rsidRPr="00A7517D">
        <w:t xml:space="preserve">natomie et </w:t>
      </w:r>
      <w:r w:rsidR="00A7517D">
        <w:t xml:space="preserve">de la </w:t>
      </w:r>
      <w:r w:rsidR="00A7517D" w:rsidRPr="00A7517D">
        <w:t xml:space="preserve">physiologie, </w:t>
      </w:r>
      <w:r w:rsidR="00A7517D">
        <w:t>de l'</w:t>
      </w:r>
      <w:r w:rsidR="00A7517D" w:rsidRPr="00A7517D">
        <w:t>alimentation</w:t>
      </w:r>
      <w:r w:rsidR="003927FF">
        <w:t xml:space="preserve">, </w:t>
      </w:r>
      <w:r w:rsidR="00A7517D">
        <w:t xml:space="preserve">des </w:t>
      </w:r>
      <w:r w:rsidR="00A7517D" w:rsidRPr="00A7517D">
        <w:t xml:space="preserve">carences, </w:t>
      </w:r>
      <w:r w:rsidR="00A7517D">
        <w:t xml:space="preserve">des </w:t>
      </w:r>
      <w:r w:rsidR="00A7517D" w:rsidRPr="00A7517D">
        <w:t>accidents physiologiques et climatiques</w:t>
      </w:r>
      <w:r w:rsidR="00A7517D">
        <w:t>.</w:t>
      </w:r>
    </w:p>
    <w:p w14:paraId="79AB31D8" w14:textId="77777777" w:rsidR="00A7517D" w:rsidRDefault="00A7517D" w:rsidP="00A7517D">
      <w:pPr>
        <w:tabs>
          <w:tab w:val="left" w:pos="851"/>
        </w:tabs>
        <w:jc w:val="both"/>
      </w:pPr>
    </w:p>
    <w:p w14:paraId="673F9407" w14:textId="096B734C" w:rsidR="00A7517D" w:rsidRDefault="003B2806" w:rsidP="00A7517D">
      <w:pPr>
        <w:tabs>
          <w:tab w:val="left" w:pos="851"/>
        </w:tabs>
        <w:jc w:val="both"/>
      </w:pPr>
      <w:r>
        <w:t>Réalisé avec le soutien de l’État de Vaud,</w:t>
      </w:r>
      <w:r w:rsidR="00AC33EA">
        <w:t xml:space="preserve"> de la Fondation L.-P. </w:t>
      </w:r>
      <w:r w:rsidR="00074FAF">
        <w:t xml:space="preserve">et A.-C. </w:t>
      </w:r>
      <w:proofErr w:type="spellStart"/>
      <w:r w:rsidR="00AC33EA">
        <w:t>Bovard</w:t>
      </w:r>
      <w:proofErr w:type="spellEnd"/>
      <w:r w:rsidR="00AC33EA">
        <w:t xml:space="preserve"> et de la Loterie Romande,</w:t>
      </w:r>
      <w:r>
        <w:t xml:space="preserve"> c</w:t>
      </w:r>
      <w:r w:rsidR="00A7517D">
        <w:t xml:space="preserve">e </w:t>
      </w:r>
      <w:r w:rsidR="00A7517D" w:rsidRPr="00A7517D">
        <w:t>quatrième volume</w:t>
      </w:r>
      <w:r w:rsidR="003878F0">
        <w:t xml:space="preserve"> </w:t>
      </w:r>
      <w:r w:rsidR="00A7517D" w:rsidRPr="00A7517D">
        <w:t xml:space="preserve">achève </w:t>
      </w:r>
      <w:r w:rsidR="00A7517D">
        <w:t>une</w:t>
      </w:r>
      <w:r w:rsidR="00A7517D" w:rsidRPr="00A7517D">
        <w:t xml:space="preserve"> série d'ouvrages basés sur plus de trente ans de recherche.</w:t>
      </w:r>
      <w:r w:rsidR="00A7517D">
        <w:t xml:space="preserve"> Il</w:t>
      </w:r>
      <w:r w:rsidR="00A7517D" w:rsidRPr="00A7517D">
        <w:t xml:space="preserve"> décrit les connaissances actuelles sur les structures et l'anatomie des tissus conducteurs</w:t>
      </w:r>
      <w:r w:rsidR="003878F0">
        <w:t xml:space="preserve"> de la vigne</w:t>
      </w:r>
      <w:r w:rsidR="00A7517D" w:rsidRPr="00A7517D">
        <w:t xml:space="preserve">, de la coiffe des radicelles aux apex des rameaux, en passant par les inflorescences et les grappes. </w:t>
      </w:r>
      <w:r w:rsidR="003878F0">
        <w:t>L</w:t>
      </w:r>
      <w:r w:rsidR="00A7517D" w:rsidRPr="00A7517D">
        <w:t xml:space="preserve">es vaisseaux conducteurs permettent aux racines d'absorber l'eau et les minéraux </w:t>
      </w:r>
      <w:r w:rsidR="00153055">
        <w:t>dans un mouvement ascendant lié</w:t>
      </w:r>
      <w:r w:rsidR="00A7517D" w:rsidRPr="00A7517D">
        <w:t xml:space="preserve"> à la demande des tissus en croissance. Ces derniers assurent la photosynthèse et la distribution des éléments synthétisés dans l'ensemble de la plante, dans un cycle saisonnier qui aboutit à la dormance et à la mise en réserve d'amidon dans le bois et les racines. La production de raisins de qualité dans les conditions pédoclimatiques les plus diverses </w:t>
      </w:r>
      <w:r w:rsidR="003878F0">
        <w:t>est influencée par un grand nombre de paramètres environnementaux et culturaux qui interfèrent sur</w:t>
      </w:r>
      <w:r w:rsidR="00A7517D" w:rsidRPr="00A7517D">
        <w:t xml:space="preserve"> l'alimentation en eau et en </w:t>
      </w:r>
      <w:r w:rsidR="00A7517D" w:rsidRPr="00A7517D">
        <w:lastRenderedPageBreak/>
        <w:t>minéraux.</w:t>
      </w:r>
      <w:r w:rsidR="00A7517D">
        <w:t xml:space="preserve"> </w:t>
      </w:r>
      <w:r w:rsidR="00A7517D" w:rsidRPr="00A7517D">
        <w:t>L’identification des causes d</w:t>
      </w:r>
      <w:r w:rsidR="003878F0">
        <w:t>'</w:t>
      </w:r>
      <w:r w:rsidR="00A7517D" w:rsidRPr="00A7517D">
        <w:t>accidents physiologiques et climatiques contribue à les prévenir par des mesures prophylactiques</w:t>
      </w:r>
      <w:r w:rsidR="003878F0">
        <w:t xml:space="preserve"> et des pratiques culturales adaptées</w:t>
      </w:r>
      <w:r w:rsidR="00A7517D" w:rsidRPr="00A7517D">
        <w:t>.</w:t>
      </w:r>
    </w:p>
    <w:p w14:paraId="7A32E400" w14:textId="77777777" w:rsidR="00153055" w:rsidRPr="00A7517D" w:rsidRDefault="00153055" w:rsidP="00A7517D">
      <w:pPr>
        <w:tabs>
          <w:tab w:val="left" w:pos="851"/>
        </w:tabs>
        <w:jc w:val="both"/>
      </w:pPr>
    </w:p>
    <w:p w14:paraId="284E3907" w14:textId="0F5E61EC" w:rsidR="00A36B23" w:rsidRDefault="00A7517D" w:rsidP="003707A5">
      <w:pPr>
        <w:pStyle w:val="Corpsdetexte2"/>
        <w:spacing w:line="240" w:lineRule="auto"/>
        <w:rPr>
          <w:sz w:val="22"/>
          <w:szCs w:val="22"/>
          <w:lang w:val="fr-FR" w:eastAsia="fr-CH"/>
        </w:rPr>
      </w:pPr>
      <w:r w:rsidRPr="00A7517D">
        <w:rPr>
          <w:sz w:val="22"/>
          <w:szCs w:val="22"/>
          <w:lang w:val="fr-FR" w:eastAsia="fr-CH"/>
        </w:rPr>
        <w:t>Ce livre permet de découvrir le monde fascinant du fonctionnement de la vigne</w:t>
      </w:r>
      <w:r w:rsidR="006F79C3">
        <w:rPr>
          <w:sz w:val="22"/>
          <w:szCs w:val="22"/>
          <w:lang w:val="fr-FR" w:eastAsia="fr-CH"/>
        </w:rPr>
        <w:t xml:space="preserve"> et de sa résilience par rapport au réchauffement climatique</w:t>
      </w:r>
      <w:r w:rsidRPr="00A7517D">
        <w:rPr>
          <w:sz w:val="22"/>
          <w:szCs w:val="22"/>
          <w:lang w:val="fr-FR" w:eastAsia="fr-CH"/>
        </w:rPr>
        <w:t>, en se basant à la fois sur l'expérimentation de terrain et les connaissances scientifiques récentes. Il s’adresse aussi bien aux praticiens confirmés</w:t>
      </w:r>
      <w:r w:rsidR="006F79C3">
        <w:rPr>
          <w:sz w:val="22"/>
          <w:szCs w:val="22"/>
          <w:lang w:val="fr-FR" w:eastAsia="fr-CH"/>
        </w:rPr>
        <w:t xml:space="preserve">, </w:t>
      </w:r>
      <w:r w:rsidRPr="00A7517D">
        <w:rPr>
          <w:sz w:val="22"/>
          <w:szCs w:val="22"/>
          <w:lang w:val="fr-FR" w:eastAsia="fr-CH"/>
        </w:rPr>
        <w:t>qu’aux conseillers viticoles, étudiants</w:t>
      </w:r>
      <w:r w:rsidR="00642D40">
        <w:rPr>
          <w:sz w:val="22"/>
          <w:szCs w:val="22"/>
          <w:lang w:val="fr-FR" w:eastAsia="fr-CH"/>
        </w:rPr>
        <w:t>,</w:t>
      </w:r>
      <w:r w:rsidR="00AC33EA">
        <w:rPr>
          <w:sz w:val="22"/>
          <w:szCs w:val="22"/>
          <w:lang w:val="fr-FR" w:eastAsia="fr-CH"/>
        </w:rPr>
        <w:t xml:space="preserve"> </w:t>
      </w:r>
      <w:r w:rsidRPr="00A7517D">
        <w:rPr>
          <w:sz w:val="22"/>
          <w:szCs w:val="22"/>
          <w:lang w:val="fr-FR" w:eastAsia="fr-CH"/>
        </w:rPr>
        <w:t>enseignants</w:t>
      </w:r>
      <w:r w:rsidR="00642D40">
        <w:rPr>
          <w:sz w:val="22"/>
          <w:szCs w:val="22"/>
          <w:lang w:val="fr-FR" w:eastAsia="fr-CH"/>
        </w:rPr>
        <w:t xml:space="preserve"> et</w:t>
      </w:r>
      <w:r w:rsidR="00153055">
        <w:rPr>
          <w:sz w:val="22"/>
          <w:szCs w:val="22"/>
          <w:lang w:val="fr-FR" w:eastAsia="fr-CH"/>
        </w:rPr>
        <w:t xml:space="preserve"> </w:t>
      </w:r>
      <w:r w:rsidRPr="00A7517D">
        <w:rPr>
          <w:sz w:val="22"/>
          <w:szCs w:val="22"/>
          <w:lang w:val="fr-FR" w:eastAsia="fr-CH"/>
        </w:rPr>
        <w:t>chercheurs</w:t>
      </w:r>
      <w:r w:rsidR="00153055">
        <w:rPr>
          <w:sz w:val="22"/>
          <w:szCs w:val="22"/>
          <w:lang w:val="fr-FR" w:eastAsia="fr-CH"/>
        </w:rPr>
        <w:t>.</w:t>
      </w:r>
    </w:p>
    <w:p w14:paraId="61DD0AFA" w14:textId="54210948" w:rsidR="009F4444" w:rsidRDefault="009F4444" w:rsidP="003707A5">
      <w:pPr>
        <w:pStyle w:val="Corpsdetexte2"/>
        <w:spacing w:line="240" w:lineRule="auto"/>
        <w:rPr>
          <w:sz w:val="22"/>
          <w:szCs w:val="22"/>
          <w:lang w:val="fr-FR" w:eastAsia="fr-CH"/>
        </w:rPr>
      </w:pPr>
    </w:p>
    <w:p w14:paraId="3F8B5209" w14:textId="77777777" w:rsidR="00FA423D" w:rsidRDefault="009F4444" w:rsidP="003707A5">
      <w:pPr>
        <w:pStyle w:val="Corpsdetexte2"/>
        <w:spacing w:line="240" w:lineRule="auto"/>
        <w:rPr>
          <w:sz w:val="22"/>
          <w:szCs w:val="22"/>
          <w:lang w:val="fr-FR" w:eastAsia="fr-CH"/>
        </w:rPr>
      </w:pPr>
      <w:r>
        <w:rPr>
          <w:sz w:val="22"/>
          <w:szCs w:val="22"/>
          <w:lang w:val="fr-FR" w:eastAsia="fr-CH"/>
        </w:rPr>
        <w:t xml:space="preserve">Pour plus d’informations : </w:t>
      </w:r>
    </w:p>
    <w:p w14:paraId="7862B0B8" w14:textId="16696D07" w:rsidR="00FA423D" w:rsidRDefault="00FA423D" w:rsidP="003707A5">
      <w:pPr>
        <w:pStyle w:val="Corpsdetexte2"/>
        <w:spacing w:line="240" w:lineRule="auto"/>
        <w:rPr>
          <w:sz w:val="22"/>
          <w:szCs w:val="22"/>
          <w:lang w:val="fr-FR" w:eastAsia="fr-CH"/>
        </w:rPr>
      </w:pPr>
    </w:p>
    <w:p w14:paraId="658870C5" w14:textId="508E1E4A" w:rsidR="00AC33EA" w:rsidRPr="000F56BD" w:rsidRDefault="00AC33EA" w:rsidP="003707A5">
      <w:pPr>
        <w:pStyle w:val="Corpsdetexte2"/>
        <w:spacing w:line="240" w:lineRule="auto"/>
        <w:rPr>
          <w:sz w:val="22"/>
          <w:szCs w:val="22"/>
          <w:lang w:eastAsia="fr-CH"/>
        </w:rPr>
      </w:pPr>
      <w:r w:rsidRPr="000F56BD">
        <w:rPr>
          <w:sz w:val="22"/>
          <w:szCs w:val="22"/>
          <w:lang w:eastAsia="fr-CH"/>
        </w:rPr>
        <w:t xml:space="preserve">Vivian Zufferey, </w:t>
      </w:r>
      <w:hyperlink r:id="rId8" w:history="1">
        <w:r w:rsidRPr="000F56BD">
          <w:rPr>
            <w:rStyle w:val="Lienhypertexte"/>
            <w:sz w:val="22"/>
            <w:szCs w:val="22"/>
            <w:lang w:eastAsia="fr-CH"/>
          </w:rPr>
          <w:t>vivian.zufferey@agroscope.admin.ch</w:t>
        </w:r>
      </w:hyperlink>
    </w:p>
    <w:p w14:paraId="3E26CAEF" w14:textId="77777777" w:rsidR="00286526" w:rsidRPr="000F56BD" w:rsidRDefault="00286526" w:rsidP="003707A5">
      <w:pPr>
        <w:pStyle w:val="Corpsdetexte2"/>
        <w:spacing w:line="240" w:lineRule="auto"/>
        <w:rPr>
          <w:rStyle w:val="Lienhypertexte"/>
          <w:sz w:val="22"/>
          <w:szCs w:val="22"/>
          <w:lang w:val="en-GB" w:eastAsia="fr-CH"/>
        </w:rPr>
      </w:pPr>
      <w:r w:rsidRPr="000F56BD">
        <w:rPr>
          <w:sz w:val="22"/>
          <w:szCs w:val="22"/>
          <w:lang w:val="en-GB" w:eastAsia="fr-CH"/>
        </w:rPr>
        <w:t xml:space="preserve">Olivier Viret, </w:t>
      </w:r>
      <w:hyperlink r:id="rId9" w:history="1">
        <w:r w:rsidRPr="000F56BD">
          <w:rPr>
            <w:rStyle w:val="Lienhypertexte"/>
            <w:sz w:val="22"/>
            <w:szCs w:val="22"/>
            <w:lang w:val="en-GB" w:eastAsia="fr-CH"/>
          </w:rPr>
          <w:t>olivier.viret@vd.ch</w:t>
        </w:r>
      </w:hyperlink>
    </w:p>
    <w:p w14:paraId="126DF0B8" w14:textId="64B1D89B" w:rsidR="009F4444" w:rsidRPr="00AC33EA" w:rsidRDefault="009F4444" w:rsidP="00FA423D">
      <w:pPr>
        <w:pStyle w:val="Corpsdetexte2"/>
        <w:spacing w:line="240" w:lineRule="auto"/>
        <w:rPr>
          <w:sz w:val="22"/>
          <w:szCs w:val="22"/>
          <w:lang w:val="en-GB" w:eastAsia="fr-CH"/>
        </w:rPr>
      </w:pPr>
      <w:r w:rsidRPr="00AC33EA">
        <w:rPr>
          <w:sz w:val="22"/>
          <w:szCs w:val="22"/>
          <w:lang w:val="en-GB" w:eastAsia="fr-CH"/>
        </w:rPr>
        <w:t xml:space="preserve">Edmée </w:t>
      </w:r>
      <w:r w:rsidR="00FA423D" w:rsidRPr="00AC33EA">
        <w:rPr>
          <w:sz w:val="22"/>
          <w:szCs w:val="22"/>
          <w:lang w:val="en-GB" w:eastAsia="fr-CH"/>
        </w:rPr>
        <w:t>Rembault-</w:t>
      </w:r>
      <w:r w:rsidRPr="00AC33EA">
        <w:rPr>
          <w:sz w:val="22"/>
          <w:szCs w:val="22"/>
          <w:lang w:val="en-GB" w:eastAsia="fr-CH"/>
        </w:rPr>
        <w:t>Necker</w:t>
      </w:r>
      <w:r w:rsidR="00FA423D" w:rsidRPr="00AC33EA">
        <w:rPr>
          <w:sz w:val="22"/>
          <w:szCs w:val="22"/>
          <w:lang w:val="en-GB" w:eastAsia="fr-CH"/>
        </w:rPr>
        <w:t xml:space="preserve">, </w:t>
      </w:r>
      <w:hyperlink r:id="rId10" w:history="1">
        <w:r w:rsidR="005745E0" w:rsidRPr="00AC33EA">
          <w:rPr>
            <w:rStyle w:val="Lienhypertexte"/>
            <w:sz w:val="22"/>
            <w:szCs w:val="22"/>
            <w:lang w:val="en-GB" w:eastAsia="fr-CH"/>
          </w:rPr>
          <w:t>e.rembault-necker@agora-romandie.ch</w:t>
        </w:r>
      </w:hyperlink>
    </w:p>
    <w:p w14:paraId="3F14B5B9" w14:textId="2DAAFE66" w:rsidR="005745E0" w:rsidRDefault="005745E0">
      <w:pPr>
        <w:pStyle w:val="Corpsdetexte2"/>
        <w:spacing w:line="240" w:lineRule="auto"/>
        <w:rPr>
          <w:sz w:val="22"/>
          <w:szCs w:val="22"/>
          <w:lang w:val="en-GB" w:eastAsia="fr-CH"/>
        </w:rPr>
      </w:pPr>
    </w:p>
    <w:p w14:paraId="13EE4D53" w14:textId="38191A75" w:rsidR="005844EB" w:rsidRDefault="005844EB">
      <w:pPr>
        <w:pStyle w:val="Corpsdetexte2"/>
        <w:spacing w:line="240" w:lineRule="auto"/>
        <w:rPr>
          <w:sz w:val="22"/>
          <w:szCs w:val="22"/>
          <w:lang w:val="en-GB" w:eastAsia="fr-CH"/>
        </w:rPr>
      </w:pPr>
    </w:p>
    <w:p w14:paraId="3618C1E9" w14:textId="6ED3E574" w:rsidR="005844EB" w:rsidRDefault="005844EB">
      <w:pPr>
        <w:pStyle w:val="Corpsdetexte2"/>
        <w:spacing w:line="240" w:lineRule="auto"/>
        <w:rPr>
          <w:sz w:val="22"/>
          <w:szCs w:val="22"/>
          <w:lang w:val="en-GB" w:eastAsia="fr-CH"/>
        </w:rPr>
      </w:pPr>
    </w:p>
    <w:p w14:paraId="52167CDD" w14:textId="5B67B4B8" w:rsidR="005844EB" w:rsidRDefault="005844EB">
      <w:pPr>
        <w:pStyle w:val="Corpsdetexte2"/>
        <w:spacing w:line="240" w:lineRule="auto"/>
        <w:rPr>
          <w:sz w:val="22"/>
          <w:szCs w:val="22"/>
          <w:lang w:val="en-GB" w:eastAsia="fr-CH"/>
        </w:rPr>
      </w:pPr>
      <w:r>
        <w:rPr>
          <w:sz w:val="22"/>
          <w:szCs w:val="22"/>
          <w:lang w:val="en-GB" w:eastAsia="fr-CH"/>
        </w:rPr>
        <w:t xml:space="preserve">Photo: </w:t>
      </w:r>
    </w:p>
    <w:p w14:paraId="348CD1A8" w14:textId="3AF9C681" w:rsidR="005844EB" w:rsidRPr="005844EB" w:rsidRDefault="005844EB">
      <w:pPr>
        <w:pStyle w:val="Corpsdetexte2"/>
        <w:spacing w:line="240" w:lineRule="auto"/>
        <w:rPr>
          <w:sz w:val="22"/>
          <w:szCs w:val="22"/>
          <w:lang w:eastAsia="fr-CH"/>
        </w:rPr>
      </w:pPr>
      <w:r w:rsidRPr="005844EB">
        <w:rPr>
          <w:sz w:val="22"/>
          <w:szCs w:val="22"/>
          <w:lang w:eastAsia="fr-CH"/>
        </w:rPr>
        <w:t xml:space="preserve">De gauche à </w:t>
      </w:r>
      <w:proofErr w:type="gramStart"/>
      <w:r w:rsidRPr="005844EB">
        <w:rPr>
          <w:sz w:val="22"/>
          <w:szCs w:val="22"/>
          <w:lang w:eastAsia="fr-CH"/>
        </w:rPr>
        <w:t>droite:</w:t>
      </w:r>
      <w:proofErr w:type="gramEnd"/>
      <w:r w:rsidRPr="005844EB">
        <w:rPr>
          <w:sz w:val="22"/>
          <w:szCs w:val="22"/>
          <w:lang w:eastAsia="fr-CH"/>
        </w:rPr>
        <w:t xml:space="preserve"> François </w:t>
      </w:r>
      <w:proofErr w:type="spellStart"/>
      <w:r w:rsidRPr="005844EB">
        <w:rPr>
          <w:sz w:val="22"/>
          <w:szCs w:val="22"/>
          <w:lang w:eastAsia="fr-CH"/>
        </w:rPr>
        <w:t>M</w:t>
      </w:r>
      <w:r>
        <w:rPr>
          <w:sz w:val="22"/>
          <w:szCs w:val="22"/>
          <w:lang w:eastAsia="fr-CH"/>
        </w:rPr>
        <w:t>urisier</w:t>
      </w:r>
      <w:proofErr w:type="spellEnd"/>
      <w:r>
        <w:rPr>
          <w:sz w:val="22"/>
          <w:szCs w:val="22"/>
          <w:lang w:eastAsia="fr-CH"/>
        </w:rPr>
        <w:t xml:space="preserve">, Olivier Viret, Katia </w:t>
      </w:r>
      <w:proofErr w:type="spellStart"/>
      <w:r>
        <w:rPr>
          <w:sz w:val="22"/>
          <w:szCs w:val="22"/>
          <w:lang w:eastAsia="fr-CH"/>
        </w:rPr>
        <w:t>Gindro</w:t>
      </w:r>
      <w:proofErr w:type="spellEnd"/>
      <w:r>
        <w:rPr>
          <w:sz w:val="22"/>
          <w:szCs w:val="22"/>
          <w:lang w:eastAsia="fr-CH"/>
        </w:rPr>
        <w:t>, Vivian Zufferey et Thibaut Verdenal. Photo : AMTRA / Nicolas Messieux</w:t>
      </w:r>
    </w:p>
    <w:sectPr w:rsidR="005844EB" w:rsidRPr="005844EB" w:rsidSect="006A0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9927" w14:textId="77777777" w:rsidR="004962C8" w:rsidRDefault="004962C8">
      <w:r>
        <w:separator/>
      </w:r>
    </w:p>
  </w:endnote>
  <w:endnote w:type="continuationSeparator" w:id="0">
    <w:p w14:paraId="43B78C1D" w14:textId="77777777" w:rsidR="004962C8" w:rsidRDefault="0049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2FF7" w14:textId="77777777" w:rsidR="005844EB" w:rsidRDefault="005844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08B3" w14:textId="6D458C41" w:rsidR="002361A8" w:rsidRPr="00AB1466" w:rsidRDefault="002361A8" w:rsidP="007A2021">
    <w:r>
      <w:rPr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CD46" w14:textId="77777777" w:rsidR="005844EB" w:rsidRDefault="005844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C270" w14:textId="77777777" w:rsidR="004962C8" w:rsidRDefault="004962C8">
      <w:r>
        <w:separator/>
      </w:r>
    </w:p>
  </w:footnote>
  <w:footnote w:type="continuationSeparator" w:id="0">
    <w:p w14:paraId="6BF46B94" w14:textId="77777777" w:rsidR="004962C8" w:rsidRDefault="0049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DE2D" w14:textId="77777777" w:rsidR="005844EB" w:rsidRDefault="005844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070" w14:textId="10804E60" w:rsidR="002361A8" w:rsidRDefault="003707A5" w:rsidP="002908CD">
    <w:pPr>
      <w:tabs>
        <w:tab w:val="left" w:pos="0"/>
        <w:tab w:val="left" w:pos="1620"/>
      </w:tabs>
    </w:pPr>
    <w:r w:rsidRPr="003707A5">
      <w:rPr>
        <w:noProof/>
        <w:lang w:val="fr-CH"/>
      </w:rPr>
      <w:drawing>
        <wp:anchor distT="0" distB="0" distL="114300" distR="114300" simplePos="0" relativeHeight="251649024" behindDoc="0" locked="0" layoutInCell="1" allowOverlap="1" wp14:anchorId="5D9B929C" wp14:editId="49C74DE3">
          <wp:simplePos x="0" y="0"/>
          <wp:positionH relativeFrom="margin">
            <wp:posOffset>-50800</wp:posOffset>
          </wp:positionH>
          <wp:positionV relativeFrom="page">
            <wp:posOffset>360045</wp:posOffset>
          </wp:positionV>
          <wp:extent cx="1272540" cy="523875"/>
          <wp:effectExtent l="0" t="0" r="3810" b="9525"/>
          <wp:wrapTopAndBottom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7A5">
      <w:rPr>
        <w:noProof/>
        <w:lang w:val="fr-CH"/>
      </w:rPr>
      <w:drawing>
        <wp:anchor distT="0" distB="0" distL="114300" distR="114300" simplePos="0" relativeHeight="251665408" behindDoc="0" locked="0" layoutInCell="1" allowOverlap="1" wp14:anchorId="23A0BB8D" wp14:editId="1DA4791F">
          <wp:simplePos x="0" y="0"/>
          <wp:positionH relativeFrom="margin">
            <wp:posOffset>3413760</wp:posOffset>
          </wp:positionH>
          <wp:positionV relativeFrom="paragraph">
            <wp:posOffset>2540</wp:posOffset>
          </wp:positionV>
          <wp:extent cx="2327275" cy="274955"/>
          <wp:effectExtent l="0" t="0" r="0" b="0"/>
          <wp:wrapTopAndBottom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275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7A5">
      <w:rPr>
        <w:noProof/>
        <w:lang w:val="fr-CH"/>
      </w:rPr>
      <w:drawing>
        <wp:anchor distT="0" distB="0" distL="114300" distR="114300" simplePos="0" relativeHeight="251681792" behindDoc="0" locked="0" layoutInCell="1" allowOverlap="1" wp14:anchorId="2813CEB2" wp14:editId="001FB564">
          <wp:simplePos x="0" y="0"/>
          <wp:positionH relativeFrom="column">
            <wp:posOffset>2035810</wp:posOffset>
          </wp:positionH>
          <wp:positionV relativeFrom="paragraph">
            <wp:posOffset>-10160</wp:posOffset>
          </wp:positionV>
          <wp:extent cx="806450" cy="393065"/>
          <wp:effectExtent l="0" t="2858" r="0" b="0"/>
          <wp:wrapSquare wrapText="bothSides"/>
          <wp:docPr id="2" name="Image 2" descr="Etat de Vaud représenté par le SIPAL - Architectes.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at de Vaud représenté par le SIPAL - Architectes.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645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1A8">
      <w:tab/>
    </w:r>
  </w:p>
  <w:tbl>
    <w:tblPr>
      <w:tblW w:w="8120" w:type="dxa"/>
      <w:tblInd w:w="-289" w:type="dxa"/>
      <w:tblLook w:val="01E0" w:firstRow="1" w:lastRow="1" w:firstColumn="1" w:lastColumn="1" w:noHBand="0" w:noVBand="0"/>
    </w:tblPr>
    <w:tblGrid>
      <w:gridCol w:w="8120"/>
    </w:tblGrid>
    <w:tr w:rsidR="007A2021" w14:paraId="3051A22F" w14:textId="77777777" w:rsidTr="006F79C3">
      <w:trPr>
        <w:trHeight w:val="282"/>
      </w:trPr>
      <w:tc>
        <w:tcPr>
          <w:tcW w:w="8120" w:type="dxa"/>
        </w:tcPr>
        <w:p w14:paraId="6F15A075" w14:textId="0FC7B7B7" w:rsidR="006F79C3" w:rsidRDefault="006F79C3" w:rsidP="009D2614">
          <w:pPr>
            <w:tabs>
              <w:tab w:val="left" w:pos="0"/>
              <w:tab w:val="left" w:pos="1620"/>
            </w:tabs>
            <w:jc w:val="right"/>
            <w:rPr>
              <w:rFonts w:ascii="Times New Roman" w:eastAsia="Batang" w:hAnsi="Times New Roman" w:cs="Times New Roman"/>
              <w:sz w:val="40"/>
              <w:szCs w:val="40"/>
            </w:rPr>
          </w:pPr>
        </w:p>
        <w:p w14:paraId="7544F30C" w14:textId="77777777" w:rsidR="003707A5" w:rsidRDefault="003707A5" w:rsidP="009D2614">
          <w:pPr>
            <w:tabs>
              <w:tab w:val="left" w:pos="0"/>
              <w:tab w:val="left" w:pos="1620"/>
            </w:tabs>
            <w:jc w:val="right"/>
            <w:rPr>
              <w:rFonts w:ascii="Times New Roman" w:eastAsia="Batang" w:hAnsi="Times New Roman" w:cs="Times New Roman"/>
              <w:sz w:val="40"/>
              <w:szCs w:val="40"/>
            </w:rPr>
          </w:pPr>
        </w:p>
        <w:p w14:paraId="0767B32E" w14:textId="7E03DD12" w:rsidR="007A2021" w:rsidRPr="009D2614" w:rsidRDefault="007A2021" w:rsidP="009D2614">
          <w:pPr>
            <w:tabs>
              <w:tab w:val="left" w:pos="0"/>
              <w:tab w:val="left" w:pos="1620"/>
            </w:tabs>
            <w:jc w:val="right"/>
            <w:rPr>
              <w:rFonts w:ascii="Times New Roman" w:eastAsia="Batang" w:hAnsi="Times New Roman"/>
              <w:sz w:val="40"/>
              <w:szCs w:val="40"/>
            </w:rPr>
          </w:pPr>
          <w:r>
            <w:rPr>
              <w:rFonts w:ascii="Times New Roman" w:eastAsia="Batang" w:hAnsi="Times New Roman" w:cs="Times New Roman"/>
              <w:sz w:val="40"/>
              <w:szCs w:val="40"/>
            </w:rPr>
            <w:t>Communiqué de presse</w:t>
          </w:r>
        </w:p>
      </w:tc>
    </w:tr>
  </w:tbl>
  <w:p w14:paraId="46C7C0F0" w14:textId="77777777" w:rsidR="002361A8" w:rsidRDefault="002361A8" w:rsidP="002908CD">
    <w:pPr>
      <w:tabs>
        <w:tab w:val="left" w:pos="0"/>
        <w:tab w:val="left" w:pos="16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57CB" w14:textId="77777777" w:rsidR="005844EB" w:rsidRDefault="005844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D5A"/>
    <w:multiLevelType w:val="hybridMultilevel"/>
    <w:tmpl w:val="22BE359A"/>
    <w:lvl w:ilvl="0" w:tplc="DF8A5B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FC09CE"/>
    <w:multiLevelType w:val="hybridMultilevel"/>
    <w:tmpl w:val="BCDCD7A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7E4CC7"/>
    <w:multiLevelType w:val="hybridMultilevel"/>
    <w:tmpl w:val="65E0D326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79151461">
    <w:abstractNumId w:val="1"/>
  </w:num>
  <w:num w:numId="2" w16cid:durableId="1397586193">
    <w:abstractNumId w:val="2"/>
  </w:num>
  <w:num w:numId="3" w16cid:durableId="131630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C4"/>
    <w:rsid w:val="000001A1"/>
    <w:rsid w:val="00002F08"/>
    <w:rsid w:val="00035B85"/>
    <w:rsid w:val="00043F23"/>
    <w:rsid w:val="0004739D"/>
    <w:rsid w:val="00054524"/>
    <w:rsid w:val="00060904"/>
    <w:rsid w:val="00060D61"/>
    <w:rsid w:val="0007173D"/>
    <w:rsid w:val="000719EF"/>
    <w:rsid w:val="00074FAF"/>
    <w:rsid w:val="000757A7"/>
    <w:rsid w:val="00077A15"/>
    <w:rsid w:val="000816AD"/>
    <w:rsid w:val="00081CCE"/>
    <w:rsid w:val="00091CE6"/>
    <w:rsid w:val="000A7501"/>
    <w:rsid w:val="000B4D7F"/>
    <w:rsid w:val="000C067A"/>
    <w:rsid w:val="000C0998"/>
    <w:rsid w:val="000C110A"/>
    <w:rsid w:val="000C6DE5"/>
    <w:rsid w:val="000D2961"/>
    <w:rsid w:val="000D5998"/>
    <w:rsid w:val="000D72B8"/>
    <w:rsid w:val="000E0569"/>
    <w:rsid w:val="000F1F44"/>
    <w:rsid w:val="000F56BD"/>
    <w:rsid w:val="000F6872"/>
    <w:rsid w:val="00104127"/>
    <w:rsid w:val="001061F3"/>
    <w:rsid w:val="001124CD"/>
    <w:rsid w:val="00116048"/>
    <w:rsid w:val="00116CF5"/>
    <w:rsid w:val="00142C6A"/>
    <w:rsid w:val="0014594A"/>
    <w:rsid w:val="00153055"/>
    <w:rsid w:val="00154743"/>
    <w:rsid w:val="001607D3"/>
    <w:rsid w:val="00163E7B"/>
    <w:rsid w:val="001665EA"/>
    <w:rsid w:val="001666C1"/>
    <w:rsid w:val="0017647C"/>
    <w:rsid w:val="00182A7F"/>
    <w:rsid w:val="00186578"/>
    <w:rsid w:val="001A6591"/>
    <w:rsid w:val="001A7CF1"/>
    <w:rsid w:val="001C350F"/>
    <w:rsid w:val="001C372C"/>
    <w:rsid w:val="001C43D4"/>
    <w:rsid w:val="001C58AE"/>
    <w:rsid w:val="001C761C"/>
    <w:rsid w:val="001D19A4"/>
    <w:rsid w:val="001D27DA"/>
    <w:rsid w:val="001F5A22"/>
    <w:rsid w:val="002147DF"/>
    <w:rsid w:val="002361A8"/>
    <w:rsid w:val="0024286E"/>
    <w:rsid w:val="00253858"/>
    <w:rsid w:val="0027055D"/>
    <w:rsid w:val="00282D49"/>
    <w:rsid w:val="00286526"/>
    <w:rsid w:val="002908CD"/>
    <w:rsid w:val="002A35D1"/>
    <w:rsid w:val="002A6E45"/>
    <w:rsid w:val="002B37AB"/>
    <w:rsid w:val="002B47C8"/>
    <w:rsid w:val="002B4BF0"/>
    <w:rsid w:val="002C3DD4"/>
    <w:rsid w:val="002D4944"/>
    <w:rsid w:val="002D4DBF"/>
    <w:rsid w:val="002D5D5E"/>
    <w:rsid w:val="002D7CD5"/>
    <w:rsid w:val="002E0FAC"/>
    <w:rsid w:val="002E1B9B"/>
    <w:rsid w:val="002F4E93"/>
    <w:rsid w:val="003023F2"/>
    <w:rsid w:val="00311F24"/>
    <w:rsid w:val="0032096F"/>
    <w:rsid w:val="00320F65"/>
    <w:rsid w:val="003211F4"/>
    <w:rsid w:val="00323143"/>
    <w:rsid w:val="00327269"/>
    <w:rsid w:val="0033437C"/>
    <w:rsid w:val="003359A8"/>
    <w:rsid w:val="0033688C"/>
    <w:rsid w:val="00340818"/>
    <w:rsid w:val="00357F72"/>
    <w:rsid w:val="00364C2B"/>
    <w:rsid w:val="00367FEF"/>
    <w:rsid w:val="003707A5"/>
    <w:rsid w:val="003727F7"/>
    <w:rsid w:val="00380935"/>
    <w:rsid w:val="003835A9"/>
    <w:rsid w:val="00386441"/>
    <w:rsid w:val="0038750F"/>
    <w:rsid w:val="003878F0"/>
    <w:rsid w:val="00387B52"/>
    <w:rsid w:val="00391AE4"/>
    <w:rsid w:val="00392012"/>
    <w:rsid w:val="003927FF"/>
    <w:rsid w:val="003A2681"/>
    <w:rsid w:val="003B2806"/>
    <w:rsid w:val="003C3CBD"/>
    <w:rsid w:val="003E01C2"/>
    <w:rsid w:val="003E56F7"/>
    <w:rsid w:val="00404642"/>
    <w:rsid w:val="004124EF"/>
    <w:rsid w:val="00413184"/>
    <w:rsid w:val="00425589"/>
    <w:rsid w:val="0042638E"/>
    <w:rsid w:val="00444BAB"/>
    <w:rsid w:val="00445FEC"/>
    <w:rsid w:val="00462DAF"/>
    <w:rsid w:val="0046548E"/>
    <w:rsid w:val="00466334"/>
    <w:rsid w:val="00473DFB"/>
    <w:rsid w:val="004819B9"/>
    <w:rsid w:val="00482DC1"/>
    <w:rsid w:val="00494BFC"/>
    <w:rsid w:val="004962C8"/>
    <w:rsid w:val="004A22D4"/>
    <w:rsid w:val="004B4FBD"/>
    <w:rsid w:val="004B796D"/>
    <w:rsid w:val="004C6EA2"/>
    <w:rsid w:val="004F15C0"/>
    <w:rsid w:val="00503D11"/>
    <w:rsid w:val="005045AF"/>
    <w:rsid w:val="005061AB"/>
    <w:rsid w:val="00507ADC"/>
    <w:rsid w:val="00527BB9"/>
    <w:rsid w:val="005357E2"/>
    <w:rsid w:val="00546F33"/>
    <w:rsid w:val="00550CA6"/>
    <w:rsid w:val="00555755"/>
    <w:rsid w:val="00561E88"/>
    <w:rsid w:val="005745E0"/>
    <w:rsid w:val="0057748E"/>
    <w:rsid w:val="00577E2E"/>
    <w:rsid w:val="005844EB"/>
    <w:rsid w:val="00593F84"/>
    <w:rsid w:val="005A48AB"/>
    <w:rsid w:val="005B0AAA"/>
    <w:rsid w:val="005B39F7"/>
    <w:rsid w:val="005D10D7"/>
    <w:rsid w:val="005D5C94"/>
    <w:rsid w:val="005E403A"/>
    <w:rsid w:val="005E70E5"/>
    <w:rsid w:val="00604296"/>
    <w:rsid w:val="00606CC3"/>
    <w:rsid w:val="00614D76"/>
    <w:rsid w:val="006311A5"/>
    <w:rsid w:val="00633FC3"/>
    <w:rsid w:val="006370AB"/>
    <w:rsid w:val="0063787D"/>
    <w:rsid w:val="00642D40"/>
    <w:rsid w:val="00644483"/>
    <w:rsid w:val="00656423"/>
    <w:rsid w:val="00666B80"/>
    <w:rsid w:val="0067226F"/>
    <w:rsid w:val="0067475C"/>
    <w:rsid w:val="00680808"/>
    <w:rsid w:val="00694374"/>
    <w:rsid w:val="0069625F"/>
    <w:rsid w:val="006A017B"/>
    <w:rsid w:val="006B74E5"/>
    <w:rsid w:val="006C1918"/>
    <w:rsid w:val="006E01EC"/>
    <w:rsid w:val="006E58CD"/>
    <w:rsid w:val="006F062F"/>
    <w:rsid w:val="006F3CAC"/>
    <w:rsid w:val="006F79C3"/>
    <w:rsid w:val="00701020"/>
    <w:rsid w:val="00704AB7"/>
    <w:rsid w:val="00715797"/>
    <w:rsid w:val="00727F03"/>
    <w:rsid w:val="007377FE"/>
    <w:rsid w:val="00751898"/>
    <w:rsid w:val="00751D54"/>
    <w:rsid w:val="00765166"/>
    <w:rsid w:val="00765248"/>
    <w:rsid w:val="00765513"/>
    <w:rsid w:val="00776286"/>
    <w:rsid w:val="007A2021"/>
    <w:rsid w:val="007A69E1"/>
    <w:rsid w:val="007A7B4C"/>
    <w:rsid w:val="007B72EE"/>
    <w:rsid w:val="007C17F4"/>
    <w:rsid w:val="007D46A8"/>
    <w:rsid w:val="007D4983"/>
    <w:rsid w:val="007D4A1A"/>
    <w:rsid w:val="007D5D02"/>
    <w:rsid w:val="00800D9F"/>
    <w:rsid w:val="0080392C"/>
    <w:rsid w:val="00804615"/>
    <w:rsid w:val="00804AD8"/>
    <w:rsid w:val="0081462A"/>
    <w:rsid w:val="00814EAF"/>
    <w:rsid w:val="0082395C"/>
    <w:rsid w:val="008337B1"/>
    <w:rsid w:val="008345C6"/>
    <w:rsid w:val="008366BE"/>
    <w:rsid w:val="008634EE"/>
    <w:rsid w:val="00877E1E"/>
    <w:rsid w:val="00884166"/>
    <w:rsid w:val="00885448"/>
    <w:rsid w:val="008944ED"/>
    <w:rsid w:val="00896334"/>
    <w:rsid w:val="008A6545"/>
    <w:rsid w:val="008B221E"/>
    <w:rsid w:val="008B3534"/>
    <w:rsid w:val="008C3140"/>
    <w:rsid w:val="008D2523"/>
    <w:rsid w:val="008E7983"/>
    <w:rsid w:val="008F24C4"/>
    <w:rsid w:val="008F3E4A"/>
    <w:rsid w:val="008F67B5"/>
    <w:rsid w:val="00902B1A"/>
    <w:rsid w:val="009034E4"/>
    <w:rsid w:val="00905162"/>
    <w:rsid w:val="00915C74"/>
    <w:rsid w:val="00923E76"/>
    <w:rsid w:val="009254D4"/>
    <w:rsid w:val="009255E9"/>
    <w:rsid w:val="00933183"/>
    <w:rsid w:val="0094679E"/>
    <w:rsid w:val="009636CD"/>
    <w:rsid w:val="0096598C"/>
    <w:rsid w:val="00966B4C"/>
    <w:rsid w:val="00967B8C"/>
    <w:rsid w:val="009847F7"/>
    <w:rsid w:val="009A32A0"/>
    <w:rsid w:val="009B0569"/>
    <w:rsid w:val="009B1628"/>
    <w:rsid w:val="009B200B"/>
    <w:rsid w:val="009B6201"/>
    <w:rsid w:val="009D2614"/>
    <w:rsid w:val="009D2671"/>
    <w:rsid w:val="009D26A9"/>
    <w:rsid w:val="009D36A3"/>
    <w:rsid w:val="009E6DAD"/>
    <w:rsid w:val="009F4444"/>
    <w:rsid w:val="009F6AE1"/>
    <w:rsid w:val="009F7243"/>
    <w:rsid w:val="00A004E4"/>
    <w:rsid w:val="00A0559F"/>
    <w:rsid w:val="00A207B9"/>
    <w:rsid w:val="00A23850"/>
    <w:rsid w:val="00A36B23"/>
    <w:rsid w:val="00A45C0C"/>
    <w:rsid w:val="00A50C71"/>
    <w:rsid w:val="00A570C4"/>
    <w:rsid w:val="00A659A0"/>
    <w:rsid w:val="00A677CD"/>
    <w:rsid w:val="00A71649"/>
    <w:rsid w:val="00A7517D"/>
    <w:rsid w:val="00A844F1"/>
    <w:rsid w:val="00A84700"/>
    <w:rsid w:val="00A975B3"/>
    <w:rsid w:val="00AA21C8"/>
    <w:rsid w:val="00AA389F"/>
    <w:rsid w:val="00AB072D"/>
    <w:rsid w:val="00AB1466"/>
    <w:rsid w:val="00AC2157"/>
    <w:rsid w:val="00AC33EA"/>
    <w:rsid w:val="00AD07DB"/>
    <w:rsid w:val="00AE3A95"/>
    <w:rsid w:val="00AE42AF"/>
    <w:rsid w:val="00AE4BBF"/>
    <w:rsid w:val="00AF45DF"/>
    <w:rsid w:val="00B16594"/>
    <w:rsid w:val="00B17E6A"/>
    <w:rsid w:val="00B27171"/>
    <w:rsid w:val="00B36917"/>
    <w:rsid w:val="00B52C26"/>
    <w:rsid w:val="00B53825"/>
    <w:rsid w:val="00B637FE"/>
    <w:rsid w:val="00B725D8"/>
    <w:rsid w:val="00B72EB3"/>
    <w:rsid w:val="00B76135"/>
    <w:rsid w:val="00B8357F"/>
    <w:rsid w:val="00B87235"/>
    <w:rsid w:val="00B97ED7"/>
    <w:rsid w:val="00BA385A"/>
    <w:rsid w:val="00BB6E70"/>
    <w:rsid w:val="00BB746D"/>
    <w:rsid w:val="00BC2D22"/>
    <w:rsid w:val="00BC39AC"/>
    <w:rsid w:val="00BE08AA"/>
    <w:rsid w:val="00BF0E6F"/>
    <w:rsid w:val="00BF1885"/>
    <w:rsid w:val="00BF59C1"/>
    <w:rsid w:val="00BF659B"/>
    <w:rsid w:val="00C057EF"/>
    <w:rsid w:val="00C077EE"/>
    <w:rsid w:val="00C10C35"/>
    <w:rsid w:val="00C207B7"/>
    <w:rsid w:val="00C31C69"/>
    <w:rsid w:val="00C37880"/>
    <w:rsid w:val="00C41B4F"/>
    <w:rsid w:val="00C64B9F"/>
    <w:rsid w:val="00C64D0A"/>
    <w:rsid w:val="00C712BA"/>
    <w:rsid w:val="00C86AF9"/>
    <w:rsid w:val="00C96D78"/>
    <w:rsid w:val="00C9764B"/>
    <w:rsid w:val="00CA64CF"/>
    <w:rsid w:val="00CB4C97"/>
    <w:rsid w:val="00CE12CB"/>
    <w:rsid w:val="00CE1A55"/>
    <w:rsid w:val="00CE4607"/>
    <w:rsid w:val="00CF05CF"/>
    <w:rsid w:val="00D14894"/>
    <w:rsid w:val="00D153FC"/>
    <w:rsid w:val="00D34DBE"/>
    <w:rsid w:val="00D3632A"/>
    <w:rsid w:val="00D429A0"/>
    <w:rsid w:val="00D444E8"/>
    <w:rsid w:val="00D54668"/>
    <w:rsid w:val="00D54837"/>
    <w:rsid w:val="00D67973"/>
    <w:rsid w:val="00D8531E"/>
    <w:rsid w:val="00D8549C"/>
    <w:rsid w:val="00DA0416"/>
    <w:rsid w:val="00DB58FE"/>
    <w:rsid w:val="00DB6D21"/>
    <w:rsid w:val="00DC227B"/>
    <w:rsid w:val="00DE49FA"/>
    <w:rsid w:val="00DE4DCC"/>
    <w:rsid w:val="00DF1BDB"/>
    <w:rsid w:val="00DF6A8D"/>
    <w:rsid w:val="00E026D9"/>
    <w:rsid w:val="00E30DC7"/>
    <w:rsid w:val="00E30FA2"/>
    <w:rsid w:val="00E311BC"/>
    <w:rsid w:val="00E4773C"/>
    <w:rsid w:val="00E607D9"/>
    <w:rsid w:val="00E6390C"/>
    <w:rsid w:val="00E724EA"/>
    <w:rsid w:val="00E73EAF"/>
    <w:rsid w:val="00E8240E"/>
    <w:rsid w:val="00E8715B"/>
    <w:rsid w:val="00E969A0"/>
    <w:rsid w:val="00EA149E"/>
    <w:rsid w:val="00EA4B56"/>
    <w:rsid w:val="00EA6F3D"/>
    <w:rsid w:val="00EB6970"/>
    <w:rsid w:val="00ED20C8"/>
    <w:rsid w:val="00EF2732"/>
    <w:rsid w:val="00F029A3"/>
    <w:rsid w:val="00F05259"/>
    <w:rsid w:val="00F070ED"/>
    <w:rsid w:val="00F20697"/>
    <w:rsid w:val="00F33EA6"/>
    <w:rsid w:val="00F34643"/>
    <w:rsid w:val="00F351EB"/>
    <w:rsid w:val="00F40AB0"/>
    <w:rsid w:val="00F40E75"/>
    <w:rsid w:val="00F439E5"/>
    <w:rsid w:val="00F60FB0"/>
    <w:rsid w:val="00F628D6"/>
    <w:rsid w:val="00F646DD"/>
    <w:rsid w:val="00F80F82"/>
    <w:rsid w:val="00FA423D"/>
    <w:rsid w:val="00FA586B"/>
    <w:rsid w:val="00FB2CB0"/>
    <w:rsid w:val="00FB797F"/>
    <w:rsid w:val="00FD7EAC"/>
    <w:rsid w:val="00FE3181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661EA15"/>
  <w15:docId w15:val="{3916E98B-7E77-400F-AC6A-8F0D8C3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884166"/>
    <w:rPr>
      <w:rFonts w:ascii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908C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-titre">
    <w:name w:val="com-titre"/>
    <w:basedOn w:val="Normal"/>
    <w:uiPriority w:val="99"/>
    <w:rsid w:val="00884166"/>
    <w:pPr>
      <w:spacing w:before="240"/>
    </w:pPr>
    <w:rPr>
      <w:b/>
      <w:bCs/>
      <w:sz w:val="32"/>
      <w:szCs w:val="32"/>
    </w:rPr>
  </w:style>
  <w:style w:type="paragraph" w:customStyle="1" w:styleId="Com-rfrences">
    <w:name w:val="Com-références"/>
    <w:basedOn w:val="com-titre"/>
    <w:uiPriority w:val="99"/>
    <w:rsid w:val="00C86AF9"/>
    <w:pPr>
      <w:spacing w:before="360" w:after="240"/>
    </w:pPr>
    <w:rPr>
      <w:sz w:val="18"/>
      <w:szCs w:val="18"/>
    </w:rPr>
  </w:style>
  <w:style w:type="paragraph" w:customStyle="1" w:styleId="Com-surtitre">
    <w:name w:val="Com-surtitre"/>
    <w:basedOn w:val="Normal"/>
    <w:uiPriority w:val="99"/>
    <w:rsid w:val="00ED20C8"/>
    <w:pPr>
      <w:spacing w:before="240"/>
    </w:pPr>
    <w:rPr>
      <w:sz w:val="24"/>
      <w:szCs w:val="24"/>
    </w:rPr>
  </w:style>
  <w:style w:type="paragraph" w:customStyle="1" w:styleId="Com-chapeau">
    <w:name w:val="Com-chapeau"/>
    <w:basedOn w:val="com-titre"/>
    <w:uiPriority w:val="99"/>
    <w:rsid w:val="00ED20C8"/>
    <w:rPr>
      <w:sz w:val="22"/>
      <w:szCs w:val="22"/>
    </w:rPr>
  </w:style>
  <w:style w:type="paragraph" w:customStyle="1" w:styleId="Com-texte">
    <w:name w:val="Com-texte"/>
    <w:basedOn w:val="com-titre"/>
    <w:uiPriority w:val="99"/>
    <w:rsid w:val="00ED20C8"/>
    <w:pPr>
      <w:spacing w:before="120"/>
    </w:pPr>
    <w:rPr>
      <w:b w:val="0"/>
      <w:bCs w:val="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967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B85"/>
    <w:rPr>
      <w:rFonts w:cs="Times New Roman"/>
      <w:sz w:val="2"/>
      <w:szCs w:val="2"/>
      <w:lang w:val="fr-FR"/>
    </w:rPr>
  </w:style>
  <w:style w:type="paragraph" w:styleId="En-tte">
    <w:name w:val="header"/>
    <w:basedOn w:val="Normal"/>
    <w:link w:val="En-tteCar"/>
    <w:uiPriority w:val="99"/>
    <w:rsid w:val="00E73E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5B85"/>
    <w:rPr>
      <w:rFonts w:ascii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rsid w:val="00E73E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5B85"/>
    <w:rPr>
      <w:rFonts w:ascii="Arial" w:hAnsi="Arial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871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1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15B"/>
    <w:rPr>
      <w:rFonts w:ascii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1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15B"/>
    <w:rPr>
      <w:rFonts w:ascii="Arial" w:hAnsi="Arial" w:cs="Arial"/>
      <w:b/>
      <w:bCs/>
      <w:sz w:val="20"/>
      <w:szCs w:val="20"/>
      <w:lang w:val="fr-FR"/>
    </w:rPr>
  </w:style>
  <w:style w:type="paragraph" w:styleId="Corpsdetexte2">
    <w:name w:val="Body Text 2"/>
    <w:basedOn w:val="Normal"/>
    <w:link w:val="Corpsdetexte2Car"/>
    <w:unhideWhenUsed/>
    <w:rsid w:val="00A7517D"/>
    <w:pPr>
      <w:spacing w:line="360" w:lineRule="auto"/>
      <w:jc w:val="both"/>
    </w:pPr>
    <w:rPr>
      <w:sz w:val="24"/>
      <w:szCs w:val="20"/>
      <w:lang w:val="fr-CH" w:eastAsia="fr-FR"/>
    </w:rPr>
  </w:style>
  <w:style w:type="character" w:customStyle="1" w:styleId="Corpsdetexte2Car">
    <w:name w:val="Corps de texte 2 Car"/>
    <w:basedOn w:val="Policepardfaut"/>
    <w:link w:val="Corpsdetexte2"/>
    <w:rsid w:val="00A7517D"/>
    <w:rPr>
      <w:rFonts w:ascii="Arial" w:hAnsi="Arial" w:cs="Arial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715797"/>
    <w:rPr>
      <w:rFonts w:ascii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5745E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.zufferey@agroscope.admin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.rembault-necker@agora-romandi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er.viret@vd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1k8\Bureau\communique_DECS%20D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1CB6-B2F3-4BA8-B0F6-FEA8871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communique_DECS DTE.dot</Template>
  <TotalTime>139</TotalTime>
  <Pages>2</Pages>
  <Words>628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Avant-projet de loi fédérale sur I’internement à vie</vt:lpstr>
    </vt:vector>
  </TitlesOfParts>
  <Company>Etat de Vaud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Avant-projet de loi fédérale sur I’internement à vie</dc:title>
  <dc:creator>philippe racine</dc:creator>
  <cp:lastModifiedBy>REMBAULT NECKER Edmée</cp:lastModifiedBy>
  <cp:revision>6</cp:revision>
  <cp:lastPrinted>2022-08-23T05:56:00Z</cp:lastPrinted>
  <dcterms:created xsi:type="dcterms:W3CDTF">2022-08-19T06:15:00Z</dcterms:created>
  <dcterms:modified xsi:type="dcterms:W3CDTF">2022-08-24T06:53:00Z</dcterms:modified>
</cp:coreProperties>
</file>